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8E6" w:rsidRDefault="00AF58E6" w:rsidP="004B035A">
      <w:pPr>
        <w:pStyle w:val="ad"/>
        <w:framePr w:w="0" w:hRule="auto" w:wrap="auto" w:hAnchor="text" w:xAlign="left" w:yAlign="inline"/>
        <w:jc w:val="both"/>
        <w:rPr>
          <w:rFonts w:hAnsi="Calibri" w:cs="Times New Roman"/>
        </w:rPr>
      </w:pPr>
    </w:p>
    <w:p w:rsidR="00AF58E6" w:rsidRPr="004B035A" w:rsidRDefault="00AF58E6" w:rsidP="004B035A">
      <w:pPr>
        <w:pStyle w:val="ad"/>
        <w:framePr w:w="0" w:hRule="auto" w:wrap="auto" w:hAnchor="text" w:xAlign="left" w:yAlign="inline"/>
        <w:rPr>
          <w:rFonts w:cs="Times New Roman"/>
          <w:sz w:val="48"/>
          <w:szCs w:val="48"/>
        </w:rPr>
      </w:pPr>
      <w:r w:rsidRPr="004B035A">
        <w:rPr>
          <w:rFonts w:hint="eastAsia"/>
        </w:rPr>
        <w:t>《品牌价值评价</w:t>
      </w:r>
      <w:r w:rsidRPr="004B035A">
        <w:t xml:space="preserve">  </w:t>
      </w:r>
      <w:r>
        <w:rPr>
          <w:rFonts w:hint="eastAsia"/>
        </w:rPr>
        <w:t>汽车制造业</w:t>
      </w:r>
      <w:r w:rsidRPr="004B035A">
        <w:rPr>
          <w:rFonts w:hint="eastAsia"/>
        </w:rPr>
        <w:t>》</w:t>
      </w:r>
    </w:p>
    <w:p w:rsidR="00AF58E6" w:rsidRDefault="00AF58E6" w:rsidP="00036974">
      <w:pPr>
        <w:widowControl/>
        <w:spacing w:before="100" w:beforeAutospacing="1" w:after="100" w:afterAutospacing="1" w:line="360" w:lineRule="auto"/>
        <w:rPr>
          <w:rFonts w:ascii="黑体" w:eastAsia="黑体" w:cs="Times New Roman"/>
          <w:kern w:val="0"/>
          <w:sz w:val="48"/>
          <w:szCs w:val="48"/>
        </w:rPr>
      </w:pPr>
      <w:r w:rsidRPr="004B035A">
        <w:rPr>
          <w:rFonts w:ascii="黑体" w:eastAsia="黑体" w:cs="黑体"/>
          <w:kern w:val="0"/>
          <w:sz w:val="48"/>
          <w:szCs w:val="48"/>
        </w:rPr>
        <w:t xml:space="preserve">            </w:t>
      </w:r>
    </w:p>
    <w:p w:rsidR="00AF58E6" w:rsidRPr="004B035A" w:rsidRDefault="00AF58E6" w:rsidP="004B035A">
      <w:pPr>
        <w:widowControl/>
        <w:spacing w:before="100" w:beforeAutospacing="1" w:after="100" w:afterAutospacing="1" w:line="360" w:lineRule="auto"/>
        <w:jc w:val="center"/>
        <w:rPr>
          <w:rFonts w:ascii="黑体" w:eastAsia="黑体" w:cs="Times New Roman"/>
          <w:kern w:val="0"/>
          <w:sz w:val="48"/>
          <w:szCs w:val="48"/>
        </w:rPr>
      </w:pPr>
      <w:r w:rsidRPr="004B035A">
        <w:rPr>
          <w:rFonts w:ascii="黑体" w:eastAsia="黑体" w:cs="黑体" w:hint="eastAsia"/>
          <w:kern w:val="0"/>
          <w:sz w:val="48"/>
          <w:szCs w:val="48"/>
        </w:rPr>
        <w:t>编制说明</w:t>
      </w:r>
    </w:p>
    <w:p w:rsidR="00AF58E6" w:rsidRPr="00B04D34" w:rsidRDefault="00AF58E6" w:rsidP="000C79F2">
      <w:pPr>
        <w:widowControl/>
        <w:spacing w:before="100" w:beforeAutospacing="1" w:after="100" w:afterAutospacing="1" w:line="360" w:lineRule="auto"/>
        <w:jc w:val="center"/>
        <w:rPr>
          <w:rFonts w:ascii="仿宋_GB2312" w:eastAsia="仿宋_GB2312" w:cs="Times New Roman"/>
          <w:kern w:val="0"/>
          <w:sz w:val="30"/>
          <w:szCs w:val="30"/>
        </w:rPr>
      </w:pPr>
    </w:p>
    <w:p w:rsidR="00AF58E6" w:rsidRDefault="00AF58E6" w:rsidP="000C79F2">
      <w:pPr>
        <w:widowControl/>
        <w:spacing w:before="100" w:beforeAutospacing="1" w:after="100" w:afterAutospacing="1" w:line="360" w:lineRule="auto"/>
        <w:jc w:val="center"/>
        <w:rPr>
          <w:rFonts w:ascii="仿宋_GB2312" w:eastAsia="仿宋_GB2312" w:cs="Times New Roman"/>
          <w:kern w:val="0"/>
          <w:sz w:val="30"/>
          <w:szCs w:val="30"/>
        </w:rPr>
      </w:pPr>
    </w:p>
    <w:p w:rsidR="00AF58E6" w:rsidRDefault="00AF58E6" w:rsidP="000C79F2">
      <w:pPr>
        <w:widowControl/>
        <w:spacing w:before="100" w:beforeAutospacing="1" w:after="100" w:afterAutospacing="1" w:line="360" w:lineRule="auto"/>
        <w:jc w:val="center"/>
        <w:rPr>
          <w:rFonts w:ascii="仿宋_GB2312" w:eastAsia="仿宋_GB2312" w:cs="Times New Roman"/>
          <w:kern w:val="0"/>
          <w:sz w:val="30"/>
          <w:szCs w:val="30"/>
        </w:rPr>
      </w:pPr>
    </w:p>
    <w:p w:rsidR="00AF58E6" w:rsidRDefault="00AF58E6" w:rsidP="000C79F2">
      <w:pPr>
        <w:widowControl/>
        <w:spacing w:before="100" w:beforeAutospacing="1" w:after="100" w:afterAutospacing="1" w:line="360" w:lineRule="auto"/>
        <w:jc w:val="center"/>
        <w:rPr>
          <w:rFonts w:ascii="仿宋_GB2312" w:eastAsia="仿宋_GB2312" w:cs="Times New Roman"/>
          <w:kern w:val="0"/>
          <w:sz w:val="30"/>
          <w:szCs w:val="30"/>
        </w:rPr>
      </w:pPr>
    </w:p>
    <w:p w:rsidR="00AF58E6" w:rsidRDefault="00AF58E6" w:rsidP="000C79F2">
      <w:pPr>
        <w:widowControl/>
        <w:spacing w:before="100" w:beforeAutospacing="1" w:after="100" w:afterAutospacing="1" w:line="360" w:lineRule="auto"/>
        <w:jc w:val="center"/>
        <w:rPr>
          <w:rFonts w:ascii="仿宋_GB2312" w:eastAsia="仿宋_GB2312" w:cs="Times New Roman"/>
          <w:kern w:val="0"/>
          <w:sz w:val="30"/>
          <w:szCs w:val="30"/>
        </w:rPr>
      </w:pPr>
    </w:p>
    <w:p w:rsidR="00AF58E6" w:rsidRDefault="00AF58E6" w:rsidP="000C79F2">
      <w:pPr>
        <w:widowControl/>
        <w:spacing w:before="100" w:beforeAutospacing="1" w:after="100" w:afterAutospacing="1" w:line="360" w:lineRule="auto"/>
        <w:jc w:val="center"/>
        <w:rPr>
          <w:rFonts w:ascii="仿宋_GB2312" w:eastAsia="仿宋_GB2312" w:cs="Times New Roman"/>
          <w:kern w:val="0"/>
          <w:sz w:val="30"/>
          <w:szCs w:val="30"/>
        </w:rPr>
      </w:pPr>
    </w:p>
    <w:p w:rsidR="00AF58E6" w:rsidRDefault="00AF58E6">
      <w:pPr>
        <w:widowControl/>
        <w:spacing w:before="100" w:beforeAutospacing="1" w:after="100" w:afterAutospacing="1"/>
        <w:rPr>
          <w:rFonts w:ascii="楷体_GB2312" w:eastAsia="楷体_GB2312" w:cs="Times New Roman"/>
          <w:kern w:val="0"/>
          <w:sz w:val="30"/>
          <w:szCs w:val="30"/>
        </w:rPr>
      </w:pPr>
    </w:p>
    <w:p w:rsidR="00AF58E6" w:rsidRDefault="00AF58E6" w:rsidP="00FF5DE0">
      <w:pPr>
        <w:widowControl/>
        <w:spacing w:before="100" w:beforeAutospacing="1" w:after="100" w:afterAutospacing="1"/>
        <w:jc w:val="center"/>
        <w:rPr>
          <w:rFonts w:ascii="楷体_GB2312" w:eastAsia="楷体_GB2312" w:cs="Times New Roman"/>
          <w:kern w:val="0"/>
          <w:sz w:val="30"/>
          <w:szCs w:val="30"/>
        </w:rPr>
      </w:pPr>
      <w:r>
        <w:rPr>
          <w:rFonts w:ascii="楷体_GB2312" w:eastAsia="楷体_GB2312" w:cs="楷体_GB2312" w:hint="eastAsia"/>
          <w:kern w:val="0"/>
          <w:sz w:val="30"/>
          <w:szCs w:val="30"/>
        </w:rPr>
        <w:t>中国汽车工业协会</w:t>
      </w:r>
    </w:p>
    <w:p w:rsidR="00AF58E6" w:rsidRDefault="00AF58E6" w:rsidP="00FF5DE0">
      <w:pPr>
        <w:widowControl/>
        <w:spacing w:before="100" w:beforeAutospacing="1" w:after="100" w:afterAutospacing="1"/>
        <w:jc w:val="center"/>
        <w:rPr>
          <w:rFonts w:ascii="仿宋_GB2312" w:eastAsia="仿宋_GB2312" w:cs="Times New Roman"/>
          <w:kern w:val="0"/>
          <w:sz w:val="30"/>
          <w:szCs w:val="30"/>
        </w:rPr>
      </w:pPr>
      <w:r>
        <w:rPr>
          <w:rFonts w:ascii="仿宋_GB2312" w:eastAsia="仿宋_GB2312" w:cs="仿宋_GB2312" w:hint="eastAsia"/>
          <w:kern w:val="0"/>
          <w:sz w:val="30"/>
          <w:szCs w:val="30"/>
        </w:rPr>
        <w:t>二○一四年</w:t>
      </w:r>
      <w:r>
        <w:rPr>
          <w:rFonts w:eastAsia="仿宋_GB2312" w:cs="仿宋_GB2312" w:hint="eastAsia"/>
          <w:kern w:val="0"/>
          <w:sz w:val="30"/>
          <w:szCs w:val="30"/>
          <w:lang w:val="en-GB"/>
        </w:rPr>
        <w:t>三</w:t>
      </w:r>
      <w:r>
        <w:rPr>
          <w:rFonts w:ascii="仿宋_GB2312" w:eastAsia="仿宋_GB2312" w:cs="仿宋_GB2312" w:hint="eastAsia"/>
          <w:kern w:val="0"/>
          <w:sz w:val="30"/>
          <w:szCs w:val="30"/>
        </w:rPr>
        <w:t>月</w:t>
      </w:r>
      <w:bookmarkStart w:id="0" w:name="_Toc231975902"/>
      <w:bookmarkStart w:id="1" w:name="_Toc237856681"/>
      <w:bookmarkStart w:id="2" w:name="_Toc237856761"/>
      <w:bookmarkStart w:id="3" w:name="_Toc279596729"/>
      <w:bookmarkStart w:id="4" w:name="_Toc279602625"/>
    </w:p>
    <w:bookmarkEnd w:id="0"/>
    <w:bookmarkEnd w:id="1"/>
    <w:bookmarkEnd w:id="2"/>
    <w:bookmarkEnd w:id="3"/>
    <w:bookmarkEnd w:id="4"/>
    <w:p w:rsidR="00AF58E6" w:rsidRDefault="00AF58E6" w:rsidP="007B4459">
      <w:pPr>
        <w:widowControl/>
        <w:spacing w:before="100" w:beforeAutospacing="1" w:after="100" w:afterAutospacing="1" w:line="360" w:lineRule="auto"/>
        <w:rPr>
          <w:rFonts w:ascii="宋体" w:cs="Times New Roman"/>
          <w:b/>
          <w:bCs/>
          <w:kern w:val="0"/>
          <w:sz w:val="30"/>
          <w:szCs w:val="30"/>
        </w:rPr>
      </w:pPr>
    </w:p>
    <w:p w:rsidR="00AF58E6" w:rsidRDefault="00AF58E6" w:rsidP="007B4459">
      <w:pPr>
        <w:widowControl/>
        <w:spacing w:before="100" w:beforeAutospacing="1" w:after="100" w:afterAutospacing="1" w:line="360" w:lineRule="auto"/>
        <w:rPr>
          <w:rFonts w:ascii="宋体" w:cs="Times New Roman"/>
          <w:b/>
          <w:bCs/>
          <w:kern w:val="0"/>
          <w:sz w:val="30"/>
          <w:szCs w:val="30"/>
        </w:rPr>
        <w:sectPr w:rsidR="00AF58E6" w:rsidSect="00756FAB">
          <w:footerReference w:type="default" r:id="rId7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AF58E6" w:rsidRPr="00A80067" w:rsidRDefault="00AF58E6" w:rsidP="008D1F5D">
      <w:pPr>
        <w:spacing w:line="440" w:lineRule="exact"/>
        <w:rPr>
          <w:rFonts w:ascii="黑体" w:eastAsia="黑体" w:hAnsi="宋体" w:cs="Times New Roman"/>
          <w:b/>
          <w:bCs/>
          <w:sz w:val="24"/>
          <w:szCs w:val="24"/>
        </w:rPr>
      </w:pPr>
      <w:r w:rsidRPr="00A80067">
        <w:rPr>
          <w:rFonts w:ascii="黑体" w:eastAsia="黑体" w:hAnsi="宋体" w:cs="黑体"/>
          <w:b/>
          <w:bCs/>
          <w:sz w:val="24"/>
          <w:szCs w:val="24"/>
        </w:rPr>
        <w:lastRenderedPageBreak/>
        <w:t xml:space="preserve">1 </w:t>
      </w:r>
      <w:r>
        <w:rPr>
          <w:rFonts w:ascii="黑体" w:eastAsia="黑体" w:hAnsi="宋体" w:cs="黑体"/>
          <w:b/>
          <w:bCs/>
          <w:sz w:val="24"/>
          <w:szCs w:val="24"/>
        </w:rPr>
        <w:t xml:space="preserve"> </w:t>
      </w:r>
      <w:r w:rsidRPr="00A80067">
        <w:rPr>
          <w:rFonts w:ascii="黑体" w:eastAsia="黑体" w:hAnsi="宋体" w:cs="黑体" w:hint="eastAsia"/>
          <w:b/>
          <w:bCs/>
          <w:sz w:val="24"/>
          <w:szCs w:val="24"/>
        </w:rPr>
        <w:t>任务来源</w:t>
      </w:r>
    </w:p>
    <w:p w:rsidR="00AF58E6" w:rsidRDefault="00AF58E6" w:rsidP="008D1F5D">
      <w:pPr>
        <w:spacing w:line="440" w:lineRule="exact"/>
        <w:ind w:firstLine="420"/>
        <w:rPr>
          <w:rFonts w:ascii="宋体" w:cs="Times New Roman"/>
        </w:rPr>
      </w:pPr>
      <w:r w:rsidRPr="002A7077">
        <w:rPr>
          <w:rFonts w:ascii="宋体" w:hAnsi="宋体" w:cs="宋体" w:hint="eastAsia"/>
        </w:rPr>
        <w:t>根据国家标准化管理委员会《关于下达</w:t>
      </w:r>
      <w:r w:rsidRPr="002A7077">
        <w:rPr>
          <w:rFonts w:ascii="宋体" w:hAnsi="宋体" w:cs="宋体"/>
        </w:rPr>
        <w:t>201</w:t>
      </w:r>
      <w:r>
        <w:rPr>
          <w:rFonts w:ascii="宋体" w:hAnsi="宋体" w:cs="宋体"/>
        </w:rPr>
        <w:t>3</w:t>
      </w:r>
      <w:r w:rsidRPr="002A7077">
        <w:rPr>
          <w:rFonts w:ascii="宋体" w:hAnsi="宋体" w:cs="宋体" w:hint="eastAsia"/>
        </w:rPr>
        <w:t>年国家标准制修订计划的通知》（</w:t>
      </w:r>
      <w:proofErr w:type="gramStart"/>
      <w:r w:rsidRPr="002A7077">
        <w:rPr>
          <w:rFonts w:ascii="宋体" w:hAnsi="宋体" w:cs="宋体" w:hint="eastAsia"/>
        </w:rPr>
        <w:t>国标委综合</w:t>
      </w:r>
      <w:proofErr w:type="gramEnd"/>
      <w:r>
        <w:rPr>
          <w:rFonts w:ascii="宋体" w:hAnsi="宋体" w:cs="宋体"/>
        </w:rPr>
        <w:t>[201</w:t>
      </w:r>
      <w:r w:rsidRPr="007E5791">
        <w:rPr>
          <w:rFonts w:ascii="宋体" w:hAnsi="宋体" w:cs="宋体"/>
        </w:rPr>
        <w:t>3]90</w:t>
      </w:r>
      <w:r w:rsidRPr="007E5791">
        <w:rPr>
          <w:rFonts w:ascii="宋体" w:hAnsi="宋体" w:cs="宋体" w:hint="eastAsia"/>
        </w:rPr>
        <w:t>号）</w:t>
      </w:r>
      <w:r>
        <w:rPr>
          <w:rFonts w:ascii="宋体" w:hAnsi="宋体" w:cs="宋体" w:hint="eastAsia"/>
        </w:rPr>
        <w:t>文件</w:t>
      </w:r>
      <w:r w:rsidRPr="002A7077">
        <w:rPr>
          <w:rFonts w:ascii="宋体" w:hAnsi="宋体" w:cs="宋体" w:hint="eastAsia"/>
        </w:rPr>
        <w:t>，由</w:t>
      </w:r>
      <w:r>
        <w:rPr>
          <w:rFonts w:ascii="宋体" w:hAnsi="宋体" w:cs="宋体" w:hint="eastAsia"/>
        </w:rPr>
        <w:t>中国汽车工业协会</w:t>
      </w:r>
      <w:r w:rsidRPr="002A7077">
        <w:rPr>
          <w:rFonts w:ascii="宋体" w:hAnsi="宋体" w:cs="宋体" w:hint="eastAsia"/>
        </w:rPr>
        <w:t>负责</w:t>
      </w:r>
      <w:r>
        <w:rPr>
          <w:rFonts w:ascii="宋体" w:hAnsi="宋体" w:cs="宋体" w:hint="eastAsia"/>
        </w:rPr>
        <w:t>牵头组织编制</w:t>
      </w:r>
      <w:r>
        <w:rPr>
          <w:rFonts w:cs="宋体" w:hint="eastAsia"/>
        </w:rPr>
        <w:t>《</w:t>
      </w:r>
      <w:r w:rsidRPr="00915AC3">
        <w:rPr>
          <w:rFonts w:cs="宋体" w:hint="eastAsia"/>
        </w:rPr>
        <w:t>品牌价值评价</w:t>
      </w:r>
      <w:r w:rsidRPr="00915AC3">
        <w:t xml:space="preserve">  </w:t>
      </w:r>
      <w:r>
        <w:rPr>
          <w:rFonts w:cs="宋体" w:hint="eastAsia"/>
        </w:rPr>
        <w:t>汽车制造业》</w:t>
      </w:r>
      <w:r>
        <w:rPr>
          <w:rFonts w:ascii="宋体" w:hAnsi="宋体" w:cs="宋体" w:hint="eastAsia"/>
        </w:rPr>
        <w:t>国家标准，由</w:t>
      </w:r>
      <w:r w:rsidRPr="00FB5736">
        <w:rPr>
          <w:rFonts w:cs="宋体" w:hint="eastAsia"/>
        </w:rPr>
        <w:t>全国品牌价值及价值测算标准化技术委员会</w:t>
      </w:r>
      <w:r w:rsidRPr="00FB5736">
        <w:rPr>
          <w:rFonts w:ascii="宋体" w:hAnsi="宋体" w:cs="宋体" w:hint="eastAsia"/>
        </w:rPr>
        <w:t>（</w:t>
      </w:r>
      <w:r w:rsidRPr="00FB5736">
        <w:rPr>
          <w:rFonts w:ascii="宋体" w:hAnsi="宋体" w:cs="宋体"/>
        </w:rPr>
        <w:t>SAC/TC532</w:t>
      </w:r>
      <w:r w:rsidRPr="00FB5736">
        <w:rPr>
          <w:rFonts w:ascii="宋体" w:hAnsi="宋体" w:cs="宋体" w:hint="eastAsia"/>
        </w:rPr>
        <w:t>）</w:t>
      </w:r>
      <w:r>
        <w:rPr>
          <w:rFonts w:cs="宋体" w:hint="eastAsia"/>
        </w:rPr>
        <w:t>负责归口，</w:t>
      </w:r>
      <w:r w:rsidRPr="002A7077">
        <w:rPr>
          <w:rFonts w:ascii="宋体" w:hAnsi="宋体" w:cs="宋体" w:hint="eastAsia"/>
        </w:rPr>
        <w:t>项目编号</w:t>
      </w:r>
      <w:r w:rsidRPr="000D5596">
        <w:rPr>
          <w:rFonts w:cs="宋体" w:hint="eastAsia"/>
        </w:rPr>
        <w:t>为：</w:t>
      </w:r>
      <w:r w:rsidRPr="000D5596">
        <w:rPr>
          <w:rFonts w:ascii="宋体" w:hAnsi="宋体" w:cs="宋体"/>
        </w:rPr>
        <w:t>2013277</w:t>
      </w:r>
      <w:r w:rsidR="000D5596" w:rsidRPr="000D5596">
        <w:rPr>
          <w:rFonts w:ascii="宋体" w:hAnsi="宋体" w:cs="宋体" w:hint="eastAsia"/>
        </w:rPr>
        <w:t>1</w:t>
      </w:r>
      <w:r w:rsidRPr="000D5596">
        <w:rPr>
          <w:rFonts w:ascii="宋体" w:hAnsi="宋体" w:cs="宋体"/>
        </w:rPr>
        <w:t>-T-424</w:t>
      </w:r>
      <w:r w:rsidRPr="000D5596">
        <w:rPr>
          <w:rFonts w:cs="宋体" w:hint="eastAsia"/>
        </w:rPr>
        <w:t>。</w:t>
      </w:r>
    </w:p>
    <w:p w:rsidR="00AF58E6" w:rsidRPr="00A80067" w:rsidRDefault="00AF58E6" w:rsidP="008D1F5D">
      <w:pPr>
        <w:widowControl/>
        <w:spacing w:line="440" w:lineRule="exact"/>
        <w:jc w:val="left"/>
        <w:rPr>
          <w:rFonts w:ascii="黑体" w:eastAsia="黑体" w:hAnsi="宋体" w:cs="Times New Roman"/>
          <w:b/>
          <w:bCs/>
          <w:kern w:val="0"/>
          <w:sz w:val="24"/>
          <w:szCs w:val="24"/>
        </w:rPr>
      </w:pPr>
      <w:r w:rsidRPr="00A80067">
        <w:rPr>
          <w:rFonts w:ascii="黑体" w:eastAsia="黑体" w:hAnsi="宋体" w:cs="黑体"/>
          <w:b/>
          <w:bCs/>
          <w:kern w:val="0"/>
          <w:sz w:val="24"/>
          <w:szCs w:val="24"/>
        </w:rPr>
        <w:t>2</w:t>
      </w:r>
      <w:r>
        <w:rPr>
          <w:rFonts w:ascii="黑体" w:eastAsia="黑体" w:hAnsi="宋体" w:cs="黑体"/>
          <w:b/>
          <w:bCs/>
          <w:kern w:val="0"/>
          <w:sz w:val="24"/>
          <w:szCs w:val="24"/>
        </w:rPr>
        <w:t xml:space="preserve">  </w:t>
      </w:r>
      <w:r>
        <w:rPr>
          <w:rFonts w:ascii="黑体" w:eastAsia="黑体" w:hAnsi="宋体" w:cs="黑体" w:hint="eastAsia"/>
          <w:b/>
          <w:bCs/>
          <w:kern w:val="0"/>
          <w:sz w:val="24"/>
          <w:szCs w:val="24"/>
        </w:rPr>
        <w:t>标准制定</w:t>
      </w:r>
      <w:r w:rsidRPr="00A80067">
        <w:rPr>
          <w:rFonts w:ascii="黑体" w:eastAsia="黑体" w:hAnsi="宋体" w:cs="黑体" w:hint="eastAsia"/>
          <w:b/>
          <w:bCs/>
          <w:kern w:val="0"/>
          <w:sz w:val="24"/>
          <w:szCs w:val="24"/>
        </w:rPr>
        <w:t>目的</w:t>
      </w:r>
      <w:r>
        <w:rPr>
          <w:rFonts w:ascii="黑体" w:eastAsia="黑体" w:hAnsi="宋体" w:cs="黑体" w:hint="eastAsia"/>
          <w:b/>
          <w:bCs/>
          <w:kern w:val="0"/>
          <w:sz w:val="24"/>
          <w:szCs w:val="24"/>
        </w:rPr>
        <w:t>和意义</w:t>
      </w:r>
    </w:p>
    <w:p w:rsidR="00AF58E6" w:rsidRPr="00E27C63" w:rsidRDefault="00AF58E6" w:rsidP="000D5596">
      <w:pPr>
        <w:spacing w:line="440" w:lineRule="exact"/>
        <w:ind w:firstLineChars="200" w:firstLine="420"/>
        <w:rPr>
          <w:rFonts w:ascii="宋体" w:cs="Times New Roman"/>
        </w:rPr>
      </w:pPr>
      <w:r>
        <w:rPr>
          <w:rFonts w:ascii="宋体" w:hAnsi="宋体" w:cs="宋体" w:hint="eastAsia"/>
        </w:rPr>
        <w:t>开展品牌价值评价工作是加强品牌建设、推进品牌战略的基础工作，是贯彻落实十八大精神和国务院《质量发展纲要（</w:t>
      </w:r>
      <w:r>
        <w:rPr>
          <w:rFonts w:ascii="宋体" w:hAnsi="宋体" w:cs="宋体"/>
        </w:rPr>
        <w:t>2011-2020</w:t>
      </w:r>
      <w:r>
        <w:rPr>
          <w:rFonts w:ascii="宋体" w:hAnsi="宋体" w:cs="宋体" w:hint="eastAsia"/>
        </w:rPr>
        <w:t>年）》的重要举措</w:t>
      </w:r>
      <w:r w:rsidRPr="00E27C63">
        <w:rPr>
          <w:rFonts w:ascii="宋体" w:hAnsi="宋体" w:cs="宋体" w:hint="eastAsia"/>
        </w:rPr>
        <w:t>。</w:t>
      </w:r>
      <w:r>
        <w:rPr>
          <w:rFonts w:ascii="宋体" w:hAnsi="宋体" w:cs="宋体" w:hint="eastAsia"/>
        </w:rPr>
        <w:t>按照《质量发展纲要（</w:t>
      </w:r>
      <w:r>
        <w:rPr>
          <w:rFonts w:ascii="宋体" w:hAnsi="宋体" w:cs="宋体"/>
        </w:rPr>
        <w:t>2011-2020</w:t>
      </w:r>
      <w:r>
        <w:rPr>
          <w:rFonts w:ascii="宋体" w:hAnsi="宋体" w:cs="宋体" w:hint="eastAsia"/>
        </w:rPr>
        <w:t>年）》提出的“建立品牌建设国家标准体系和品牌价值评价制度”的要求，</w:t>
      </w:r>
      <w:proofErr w:type="gramStart"/>
      <w:r>
        <w:rPr>
          <w:rFonts w:ascii="宋体" w:hAnsi="宋体" w:cs="宋体" w:hint="eastAsia"/>
        </w:rPr>
        <w:t>国标委</w:t>
      </w:r>
      <w:proofErr w:type="gramEnd"/>
      <w:r>
        <w:rPr>
          <w:rFonts w:ascii="宋体" w:hAnsi="宋体" w:cs="宋体" w:hint="eastAsia"/>
        </w:rPr>
        <w:t>已相继发布了</w:t>
      </w:r>
      <w:r>
        <w:rPr>
          <w:rFonts w:ascii="宋体" w:hAnsi="宋体" w:cs="宋体"/>
        </w:rPr>
        <w:t>GB/T 29185-2012</w:t>
      </w:r>
      <w:r>
        <w:rPr>
          <w:rFonts w:ascii="宋体" w:hAnsi="宋体" w:cs="宋体" w:hint="eastAsia"/>
        </w:rPr>
        <w:t>《</w:t>
      </w:r>
      <w:r>
        <w:rPr>
          <w:rFonts w:cs="宋体" w:hint="eastAsia"/>
        </w:rPr>
        <w:t>品牌价值</w:t>
      </w:r>
      <w:r>
        <w:t xml:space="preserve"> </w:t>
      </w:r>
      <w:r>
        <w:rPr>
          <w:rFonts w:cs="宋体" w:hint="eastAsia"/>
        </w:rPr>
        <w:t>术语</w:t>
      </w:r>
      <w:r>
        <w:rPr>
          <w:rFonts w:ascii="宋体" w:hAnsi="宋体" w:cs="宋体" w:hint="eastAsia"/>
        </w:rPr>
        <w:t>》、</w:t>
      </w:r>
      <w:r>
        <w:rPr>
          <w:rFonts w:ascii="宋体" w:hAnsi="宋体" w:cs="宋体"/>
        </w:rPr>
        <w:t>GB/T 29186-2012</w:t>
      </w:r>
      <w:r>
        <w:rPr>
          <w:rFonts w:ascii="宋体" w:hAnsi="宋体" w:cs="宋体" w:hint="eastAsia"/>
        </w:rPr>
        <w:t>《</w:t>
      </w:r>
      <w:r>
        <w:rPr>
          <w:rFonts w:cs="宋体" w:hint="eastAsia"/>
        </w:rPr>
        <w:t>品牌价值</w:t>
      </w:r>
      <w:r>
        <w:t xml:space="preserve">  </w:t>
      </w:r>
      <w:r>
        <w:rPr>
          <w:rFonts w:cs="宋体" w:hint="eastAsia"/>
        </w:rPr>
        <w:t>要素</w:t>
      </w:r>
      <w:r>
        <w:rPr>
          <w:rFonts w:ascii="宋体" w:hAnsi="宋体" w:cs="宋体" w:hint="eastAsia"/>
        </w:rPr>
        <w:t>》、</w:t>
      </w:r>
      <w:r>
        <w:rPr>
          <w:rFonts w:ascii="宋体" w:hAnsi="宋体" w:cs="宋体"/>
        </w:rPr>
        <w:t>GB/T 29187-2012</w:t>
      </w:r>
      <w:r>
        <w:rPr>
          <w:rFonts w:ascii="宋体" w:hAnsi="宋体" w:cs="宋体" w:hint="eastAsia"/>
        </w:rPr>
        <w:t>《</w:t>
      </w:r>
      <w:r>
        <w:rPr>
          <w:rFonts w:cs="宋体" w:hint="eastAsia"/>
        </w:rPr>
        <w:t>品牌评价</w:t>
      </w:r>
      <w:r>
        <w:t xml:space="preserve">  </w:t>
      </w:r>
      <w:r>
        <w:rPr>
          <w:rFonts w:cs="宋体" w:hint="eastAsia"/>
        </w:rPr>
        <w:t>品牌价值评价要求</w:t>
      </w:r>
      <w:r>
        <w:rPr>
          <w:rFonts w:ascii="宋体" w:hAnsi="宋体" w:cs="宋体" w:hint="eastAsia"/>
        </w:rPr>
        <w:t>》、</w:t>
      </w:r>
      <w:r>
        <w:rPr>
          <w:rFonts w:ascii="宋体" w:hAnsi="宋体" w:cs="宋体"/>
        </w:rPr>
        <w:t>GB/T 29188-2012</w:t>
      </w:r>
      <w:r>
        <w:rPr>
          <w:rFonts w:ascii="宋体" w:hAnsi="宋体" w:cs="宋体" w:hint="eastAsia"/>
        </w:rPr>
        <w:t>《</w:t>
      </w:r>
      <w:r>
        <w:rPr>
          <w:rFonts w:cs="宋体" w:hint="eastAsia"/>
        </w:rPr>
        <w:t>品牌评价</w:t>
      </w:r>
      <w:r>
        <w:t xml:space="preserve"> </w:t>
      </w:r>
      <w:r>
        <w:rPr>
          <w:rFonts w:cs="宋体" w:hint="eastAsia"/>
        </w:rPr>
        <w:t>多周期超额收益法</w:t>
      </w:r>
      <w:r>
        <w:rPr>
          <w:rFonts w:ascii="宋体" w:hAnsi="宋体" w:cs="宋体" w:hint="eastAsia"/>
        </w:rPr>
        <w:t>》等系列标准，为开展品牌价值评价奠定了基础。由于该系列标准是通用型、共性标准，而品牌价值评价与企业所处的经营环境、行业特征密切相关，其影响因素和影响权重也不尽一致，因此为指导汽车企业创建知名品牌，提升品牌价值和效应，并科学评估品牌建设情况和成果，制定适用于汽车制造业的品牌价值评价方法标准是必要且可行的。</w:t>
      </w:r>
    </w:p>
    <w:p w:rsidR="00AF58E6" w:rsidRPr="00B83BBA" w:rsidRDefault="00AF58E6" w:rsidP="000D5596">
      <w:pPr>
        <w:spacing w:line="440" w:lineRule="exact"/>
        <w:ind w:firstLineChars="200" w:firstLine="420"/>
        <w:rPr>
          <w:rFonts w:ascii="宋体" w:cs="Times New Roman"/>
        </w:rPr>
      </w:pPr>
      <w:r>
        <w:rPr>
          <w:rFonts w:ascii="宋体" w:hAnsi="宋体" w:cs="宋体" w:hint="eastAsia"/>
        </w:rPr>
        <w:t>本标准的制定是对已有品牌价值评价国家标准体系的补充和完善，是</w:t>
      </w:r>
      <w:r w:rsidRPr="00B83BBA">
        <w:rPr>
          <w:rFonts w:ascii="宋体" w:hAnsi="宋体" w:cs="宋体"/>
        </w:rPr>
        <w:t xml:space="preserve">GB/T </w:t>
      </w:r>
      <w:r>
        <w:rPr>
          <w:rFonts w:ascii="宋体" w:hAnsi="宋体" w:cs="宋体"/>
        </w:rPr>
        <w:t>291</w:t>
      </w:r>
      <w:r w:rsidRPr="00B83BBA">
        <w:rPr>
          <w:rFonts w:ascii="宋体" w:hAnsi="宋体" w:cs="宋体"/>
        </w:rPr>
        <w:t>8</w:t>
      </w:r>
      <w:r>
        <w:rPr>
          <w:rFonts w:ascii="宋体" w:hAnsi="宋体" w:cs="宋体"/>
        </w:rPr>
        <w:t>8</w:t>
      </w:r>
      <w:r w:rsidRPr="00B83BBA">
        <w:rPr>
          <w:rFonts w:ascii="宋体" w:cs="宋体"/>
        </w:rPr>
        <w:t>-</w:t>
      </w:r>
      <w:r w:rsidRPr="00192459">
        <w:rPr>
          <w:rFonts w:ascii="宋体" w:hAnsi="宋体" w:cs="宋体"/>
        </w:rPr>
        <w:t>2012</w:t>
      </w:r>
      <w:r w:rsidRPr="00B83BBA">
        <w:rPr>
          <w:rFonts w:ascii="宋体" w:hAnsi="宋体" w:cs="宋体" w:hint="eastAsia"/>
        </w:rPr>
        <w:t>的配套实施标准</w:t>
      </w:r>
      <w:r>
        <w:rPr>
          <w:rFonts w:ascii="宋体" w:hAnsi="宋体" w:cs="宋体" w:hint="eastAsia"/>
        </w:rPr>
        <w:t>，对提高标准的实效性具有实际意义。</w:t>
      </w:r>
    </w:p>
    <w:p w:rsidR="00AF58E6" w:rsidRDefault="00AF58E6" w:rsidP="008D1F5D">
      <w:pPr>
        <w:widowControl/>
        <w:spacing w:line="440" w:lineRule="exact"/>
        <w:jc w:val="left"/>
        <w:rPr>
          <w:rFonts w:ascii="黑体" w:eastAsia="黑体" w:hAnsi="宋体" w:cs="Times New Roman"/>
          <w:b/>
          <w:bCs/>
          <w:kern w:val="0"/>
          <w:sz w:val="24"/>
          <w:szCs w:val="24"/>
        </w:rPr>
      </w:pPr>
      <w:r w:rsidRPr="000930D5">
        <w:rPr>
          <w:rFonts w:ascii="黑体" w:eastAsia="黑体" w:hAnsi="宋体" w:cs="黑体"/>
          <w:b/>
          <w:bCs/>
          <w:kern w:val="0"/>
          <w:sz w:val="24"/>
          <w:szCs w:val="24"/>
        </w:rPr>
        <w:t xml:space="preserve">3  </w:t>
      </w:r>
      <w:r w:rsidRPr="000930D5">
        <w:rPr>
          <w:rFonts w:ascii="黑体" w:eastAsia="黑体" w:hAnsi="宋体" w:cs="黑体" w:hint="eastAsia"/>
          <w:b/>
          <w:bCs/>
          <w:kern w:val="0"/>
          <w:sz w:val="24"/>
          <w:szCs w:val="24"/>
        </w:rPr>
        <w:t>制定本标准的基本思路</w:t>
      </w:r>
    </w:p>
    <w:p w:rsidR="00AF58E6" w:rsidRPr="000930D5" w:rsidRDefault="00AF58E6" w:rsidP="008D1F5D">
      <w:pPr>
        <w:widowControl/>
        <w:spacing w:line="440" w:lineRule="exact"/>
        <w:jc w:val="left"/>
        <w:rPr>
          <w:rFonts w:ascii="黑体" w:eastAsia="黑体" w:hAnsi="宋体" w:cs="Times New Roman"/>
          <w:b/>
          <w:bCs/>
          <w:kern w:val="0"/>
          <w:sz w:val="24"/>
          <w:szCs w:val="24"/>
        </w:rPr>
      </w:pPr>
      <w:r>
        <w:rPr>
          <w:rFonts w:ascii="黑体" w:eastAsia="黑体" w:hAnsi="宋体" w:cs="黑体"/>
          <w:b/>
          <w:bCs/>
          <w:kern w:val="0"/>
          <w:sz w:val="24"/>
          <w:szCs w:val="24"/>
        </w:rPr>
        <w:t xml:space="preserve">    </w:t>
      </w:r>
      <w:r>
        <w:rPr>
          <w:rFonts w:ascii="宋体" w:hAnsi="宋体" w:cs="宋体" w:hint="eastAsia"/>
        </w:rPr>
        <w:t>标准编制按照</w:t>
      </w:r>
      <w:r>
        <w:rPr>
          <w:rFonts w:ascii="宋体" w:hAnsi="宋体" w:cs="宋体"/>
        </w:rPr>
        <w:t>GB/T 29187-2012</w:t>
      </w:r>
      <w:r>
        <w:rPr>
          <w:rFonts w:ascii="宋体" w:hAnsi="宋体" w:cs="宋体" w:hint="eastAsia"/>
        </w:rPr>
        <w:t>《</w:t>
      </w:r>
      <w:r>
        <w:rPr>
          <w:rFonts w:cs="宋体" w:hint="eastAsia"/>
        </w:rPr>
        <w:t>品牌评价</w:t>
      </w:r>
      <w:r>
        <w:t xml:space="preserve">  </w:t>
      </w:r>
      <w:r>
        <w:rPr>
          <w:rFonts w:cs="宋体" w:hint="eastAsia"/>
        </w:rPr>
        <w:t>品牌价值评价要求</w:t>
      </w:r>
      <w:r>
        <w:rPr>
          <w:rFonts w:ascii="宋体" w:hAnsi="宋体" w:cs="宋体" w:hint="eastAsia"/>
        </w:rPr>
        <w:t>》规定的测算程序和方法要求和评价的基本框架，依据</w:t>
      </w:r>
      <w:r>
        <w:rPr>
          <w:rFonts w:ascii="宋体" w:hAnsi="宋体" w:cs="宋体"/>
        </w:rPr>
        <w:t>GB/T 29188-2012</w:t>
      </w:r>
      <w:r>
        <w:rPr>
          <w:rFonts w:ascii="宋体" w:hAnsi="宋体" w:cs="宋体" w:hint="eastAsia"/>
        </w:rPr>
        <w:t>《</w:t>
      </w:r>
      <w:r>
        <w:rPr>
          <w:rFonts w:cs="宋体" w:hint="eastAsia"/>
        </w:rPr>
        <w:t>品牌评价</w:t>
      </w:r>
      <w:r>
        <w:t xml:space="preserve"> </w:t>
      </w:r>
      <w:r>
        <w:rPr>
          <w:rFonts w:cs="宋体" w:hint="eastAsia"/>
        </w:rPr>
        <w:t>多周期超额收益法</w:t>
      </w:r>
      <w:r>
        <w:rPr>
          <w:rFonts w:ascii="宋体" w:hAnsi="宋体" w:cs="宋体" w:hint="eastAsia"/>
        </w:rPr>
        <w:t>》规定的测算模型、计算方法、指标体系与过程要求并结合汽车制造业的特点、特征进行，同时采纳</w:t>
      </w:r>
      <w:r>
        <w:rPr>
          <w:rFonts w:ascii="宋体" w:hAnsi="宋体" w:cs="宋体"/>
        </w:rPr>
        <w:t>GB/T 29185-2012</w:t>
      </w:r>
      <w:r>
        <w:rPr>
          <w:rFonts w:ascii="宋体" w:hAnsi="宋体" w:cs="宋体" w:hint="eastAsia"/>
        </w:rPr>
        <w:t>《</w:t>
      </w:r>
      <w:r>
        <w:rPr>
          <w:rFonts w:cs="宋体" w:hint="eastAsia"/>
        </w:rPr>
        <w:t>品牌价值</w:t>
      </w:r>
      <w:r>
        <w:t xml:space="preserve"> </w:t>
      </w:r>
      <w:r>
        <w:rPr>
          <w:rFonts w:cs="宋体" w:hint="eastAsia"/>
        </w:rPr>
        <w:t>术语</w:t>
      </w:r>
      <w:r>
        <w:rPr>
          <w:rFonts w:ascii="宋体" w:hAnsi="宋体" w:cs="宋体" w:hint="eastAsia"/>
        </w:rPr>
        <w:t>》和</w:t>
      </w:r>
      <w:r>
        <w:rPr>
          <w:rFonts w:ascii="宋体" w:hAnsi="宋体" w:cs="宋体"/>
        </w:rPr>
        <w:t>GB/T 29186-2012</w:t>
      </w:r>
      <w:r>
        <w:rPr>
          <w:rFonts w:ascii="宋体" w:hAnsi="宋体" w:cs="宋体" w:hint="eastAsia"/>
        </w:rPr>
        <w:t>《</w:t>
      </w:r>
      <w:r>
        <w:rPr>
          <w:rFonts w:cs="宋体" w:hint="eastAsia"/>
        </w:rPr>
        <w:t>品牌价值</w:t>
      </w:r>
      <w:r>
        <w:t xml:space="preserve">  </w:t>
      </w:r>
      <w:r>
        <w:rPr>
          <w:rFonts w:cs="宋体" w:hint="eastAsia"/>
        </w:rPr>
        <w:t>要素</w:t>
      </w:r>
      <w:r>
        <w:rPr>
          <w:rFonts w:ascii="宋体" w:hAnsi="宋体" w:cs="宋体" w:hint="eastAsia"/>
        </w:rPr>
        <w:t>》有关术语及评价要素。根据行业特点，在充分研究基础上，考虑将质量、创新、市场、服务、社会责任</w:t>
      </w:r>
      <w:r>
        <w:rPr>
          <w:rFonts w:ascii="宋体" w:hAnsi="宋体" w:cs="宋体"/>
        </w:rPr>
        <w:t>5</w:t>
      </w:r>
      <w:r>
        <w:rPr>
          <w:rFonts w:ascii="宋体" w:hAnsi="宋体" w:cs="宋体" w:hint="eastAsia"/>
        </w:rPr>
        <w:t>个指标作为品牌强度测算的一级指标，并确定质量管理水平、</w:t>
      </w:r>
      <w:r w:rsidRPr="004E388A">
        <w:rPr>
          <w:rFonts w:ascii="宋体" w:hAnsi="宋体" w:cs="宋体" w:hint="eastAsia"/>
        </w:rPr>
        <w:t>质量水平、质量信用、</w:t>
      </w:r>
      <w:r>
        <w:rPr>
          <w:rFonts w:ascii="宋体" w:hAnsi="宋体" w:cs="宋体" w:hint="eastAsia"/>
        </w:rPr>
        <w:t>质量荣誉、创新成果</w:t>
      </w:r>
      <w:r w:rsidRPr="004E388A">
        <w:rPr>
          <w:rFonts w:ascii="宋体" w:hAnsi="宋体" w:cs="宋体" w:hint="eastAsia"/>
        </w:rPr>
        <w:t>、创新能力等</w:t>
      </w:r>
      <w:r w:rsidRPr="004E388A">
        <w:rPr>
          <w:rFonts w:ascii="宋体" w:hAnsi="宋体" w:cs="宋体"/>
        </w:rPr>
        <w:t>1</w:t>
      </w:r>
      <w:r>
        <w:rPr>
          <w:rFonts w:ascii="宋体" w:hAnsi="宋体" w:cs="宋体"/>
        </w:rPr>
        <w:t>7</w:t>
      </w:r>
      <w:r>
        <w:rPr>
          <w:rFonts w:ascii="宋体" w:hAnsi="宋体" w:cs="宋体" w:hint="eastAsia"/>
        </w:rPr>
        <w:t>个二级指标，由此组成整个的评价测评体系。同时，在具体权重设计上要充分考虑汽车制造业的特点。同时，要积极吸纳已有品牌评价的成果和经验，制定适用于汽车制造业业的品牌价值评价方法标准。</w:t>
      </w:r>
    </w:p>
    <w:p w:rsidR="00AF58E6" w:rsidRDefault="00AF58E6" w:rsidP="008D1F5D">
      <w:pPr>
        <w:widowControl/>
        <w:spacing w:line="440" w:lineRule="exact"/>
        <w:jc w:val="left"/>
        <w:rPr>
          <w:rFonts w:ascii="黑体" w:eastAsia="黑体" w:hAnsi="宋体" w:cs="Times New Roman"/>
          <w:b/>
          <w:bCs/>
          <w:kern w:val="0"/>
          <w:sz w:val="24"/>
          <w:szCs w:val="24"/>
        </w:rPr>
      </w:pPr>
      <w:r w:rsidRPr="00915AC3">
        <w:rPr>
          <w:rFonts w:ascii="黑体" w:eastAsia="黑体" w:hAnsi="宋体" w:cs="黑体"/>
          <w:b/>
          <w:bCs/>
          <w:kern w:val="0"/>
          <w:sz w:val="24"/>
          <w:szCs w:val="24"/>
        </w:rPr>
        <w:t xml:space="preserve">4  </w:t>
      </w:r>
      <w:r w:rsidRPr="00915AC3">
        <w:rPr>
          <w:rFonts w:ascii="黑体" w:eastAsia="黑体" w:hAnsi="宋体" w:cs="黑体" w:hint="eastAsia"/>
          <w:b/>
          <w:bCs/>
          <w:kern w:val="0"/>
          <w:sz w:val="24"/>
          <w:szCs w:val="24"/>
        </w:rPr>
        <w:t>名称和范围</w:t>
      </w:r>
    </w:p>
    <w:p w:rsidR="00AF58E6" w:rsidRDefault="00AF58E6" w:rsidP="000D5596">
      <w:pPr>
        <w:spacing w:line="440" w:lineRule="exact"/>
        <w:ind w:firstLineChars="200" w:firstLine="420"/>
        <w:rPr>
          <w:rFonts w:cs="Times New Roman"/>
        </w:rPr>
      </w:pPr>
      <w:r>
        <w:rPr>
          <w:rFonts w:cs="宋体" w:hint="eastAsia"/>
        </w:rPr>
        <w:t>名称确定为《</w:t>
      </w:r>
      <w:r w:rsidRPr="00915AC3">
        <w:rPr>
          <w:rFonts w:cs="宋体" w:hint="eastAsia"/>
        </w:rPr>
        <w:t>品牌价值评价</w:t>
      </w:r>
      <w:r w:rsidRPr="00915AC3">
        <w:t xml:space="preserve">  </w:t>
      </w:r>
      <w:r>
        <w:rPr>
          <w:rFonts w:cs="宋体" w:hint="eastAsia"/>
        </w:rPr>
        <w:t>汽车制造业》</w:t>
      </w:r>
    </w:p>
    <w:p w:rsidR="00AF58E6" w:rsidRDefault="00AF58E6" w:rsidP="000D5596">
      <w:pPr>
        <w:spacing w:line="440" w:lineRule="exact"/>
        <w:ind w:firstLineChars="200" w:firstLine="420"/>
        <w:rPr>
          <w:rFonts w:cs="Times New Roman"/>
        </w:rPr>
      </w:pPr>
      <w:r>
        <w:rPr>
          <w:rFonts w:cs="宋体" w:hint="eastAsia"/>
        </w:rPr>
        <w:t>范围：</w:t>
      </w:r>
      <w:r w:rsidRPr="00D047A9">
        <w:rPr>
          <w:rFonts w:cs="宋体" w:hint="eastAsia"/>
        </w:rPr>
        <w:t>标准对</w:t>
      </w:r>
      <w:r>
        <w:rPr>
          <w:rFonts w:cs="宋体" w:hint="eastAsia"/>
        </w:rPr>
        <w:t>汽车制造业的品牌货币价值</w:t>
      </w:r>
      <w:r w:rsidRPr="00D047A9">
        <w:rPr>
          <w:rFonts w:cs="宋体" w:hint="eastAsia"/>
        </w:rPr>
        <w:t>测</w:t>
      </w:r>
      <w:r>
        <w:rPr>
          <w:rFonts w:cs="宋体" w:hint="eastAsia"/>
        </w:rPr>
        <w:t>算方法规定了要求</w:t>
      </w:r>
      <w:r w:rsidRPr="00D047A9">
        <w:rPr>
          <w:rFonts w:cs="宋体" w:hint="eastAsia"/>
        </w:rPr>
        <w:t>。</w:t>
      </w:r>
      <w:r>
        <w:rPr>
          <w:rFonts w:cs="宋体" w:hint="eastAsia"/>
        </w:rPr>
        <w:t>标准为汽车制造业品牌价值测算</w:t>
      </w:r>
      <w:r w:rsidRPr="00D047A9">
        <w:rPr>
          <w:rFonts w:cs="宋体" w:hint="eastAsia"/>
        </w:rPr>
        <w:t>规定</w:t>
      </w:r>
      <w:r>
        <w:rPr>
          <w:rFonts w:cs="宋体" w:hint="eastAsia"/>
        </w:rPr>
        <w:t>测算模型、测算指标、计算方法、测算过程等</w:t>
      </w:r>
      <w:r w:rsidRPr="00D047A9">
        <w:rPr>
          <w:rFonts w:cs="宋体" w:hint="eastAsia"/>
        </w:rPr>
        <w:t>。</w:t>
      </w:r>
      <w:r>
        <w:rPr>
          <w:rFonts w:cs="宋体" w:hint="eastAsia"/>
        </w:rPr>
        <w:t>标准适用于汽车制造业企业品</w:t>
      </w:r>
      <w:r>
        <w:rPr>
          <w:rFonts w:cs="宋体" w:hint="eastAsia"/>
        </w:rPr>
        <w:lastRenderedPageBreak/>
        <w:t>牌价值评价，可用于汽车制造业企业进行品牌价值的自我评价，也可作为第三方进行品牌价值评价依据。</w:t>
      </w:r>
    </w:p>
    <w:p w:rsidR="00AF58E6" w:rsidRDefault="00AF58E6" w:rsidP="0041119F">
      <w:pPr>
        <w:spacing w:line="440" w:lineRule="exact"/>
        <w:rPr>
          <w:rFonts w:ascii="黑体" w:eastAsia="黑体" w:hAnsi="宋体" w:cs="Times New Roman"/>
          <w:b/>
          <w:bCs/>
          <w:kern w:val="0"/>
          <w:sz w:val="24"/>
          <w:szCs w:val="24"/>
        </w:rPr>
      </w:pPr>
      <w:r>
        <w:rPr>
          <w:rFonts w:ascii="黑体" w:eastAsia="黑体" w:hAnsi="宋体" w:cs="黑体"/>
          <w:b/>
          <w:bCs/>
          <w:kern w:val="0"/>
          <w:sz w:val="24"/>
          <w:szCs w:val="24"/>
        </w:rPr>
        <w:t xml:space="preserve">5  </w:t>
      </w:r>
      <w:r w:rsidRPr="0058327F">
        <w:rPr>
          <w:rFonts w:ascii="黑体" w:eastAsia="黑体" w:hAnsi="宋体" w:cs="黑体" w:hint="eastAsia"/>
          <w:b/>
          <w:bCs/>
          <w:kern w:val="0"/>
          <w:sz w:val="24"/>
          <w:szCs w:val="24"/>
        </w:rPr>
        <w:t>编制依据</w:t>
      </w:r>
    </w:p>
    <w:p w:rsidR="00AF58E6" w:rsidRDefault="00AF58E6" w:rsidP="000D5596">
      <w:pPr>
        <w:widowControl/>
        <w:spacing w:line="440" w:lineRule="exact"/>
        <w:ind w:firstLineChars="200" w:firstLine="420"/>
        <w:jc w:val="left"/>
        <w:rPr>
          <w:rFonts w:ascii="宋体" w:cs="Times New Roman"/>
        </w:rPr>
      </w:pPr>
      <w:r>
        <w:rPr>
          <w:rFonts w:ascii="宋体" w:hAnsi="宋体" w:cs="宋体" w:hint="eastAsia"/>
        </w:rPr>
        <w:t>编制依据为：</w:t>
      </w:r>
    </w:p>
    <w:p w:rsidR="00AF58E6" w:rsidRDefault="00AF58E6" w:rsidP="000D5596">
      <w:pPr>
        <w:widowControl/>
        <w:spacing w:line="440" w:lineRule="exact"/>
        <w:ind w:firstLineChars="200" w:firstLine="420"/>
        <w:jc w:val="left"/>
        <w:rPr>
          <w:rFonts w:ascii="宋体" w:cs="Times New Roman"/>
        </w:rPr>
      </w:pPr>
      <w:r>
        <w:rPr>
          <w:rFonts w:ascii="宋体" w:hAnsi="宋体" w:cs="宋体" w:hint="eastAsia"/>
        </w:rPr>
        <w:t>按</w:t>
      </w:r>
      <w:r>
        <w:rPr>
          <w:rFonts w:ascii="宋体" w:hAnsi="宋体" w:cs="宋体"/>
        </w:rPr>
        <w:t>GB/T 1.1-2009</w:t>
      </w:r>
      <w:r>
        <w:rPr>
          <w:rFonts w:ascii="宋体" w:hAnsi="宋体" w:cs="宋体" w:hint="eastAsia"/>
        </w:rPr>
        <w:t>给出的规则起草；</w:t>
      </w:r>
    </w:p>
    <w:p w:rsidR="00AF58E6" w:rsidRDefault="00AF58E6" w:rsidP="000D5596">
      <w:pPr>
        <w:widowControl/>
        <w:spacing w:line="440" w:lineRule="exact"/>
        <w:ind w:firstLineChars="200" w:firstLine="420"/>
        <w:jc w:val="left"/>
        <w:rPr>
          <w:rFonts w:ascii="宋体" w:cs="Times New Roman"/>
        </w:rPr>
      </w:pPr>
      <w:r>
        <w:rPr>
          <w:rFonts w:ascii="宋体" w:hAnsi="宋体" w:cs="宋体" w:hint="eastAsia"/>
        </w:rPr>
        <w:t>按照</w:t>
      </w:r>
      <w:r>
        <w:rPr>
          <w:rFonts w:ascii="宋体" w:hAnsi="宋体" w:cs="宋体"/>
        </w:rPr>
        <w:t>GB/T 29186-2012</w:t>
      </w:r>
      <w:r>
        <w:rPr>
          <w:rFonts w:ascii="宋体" w:hAnsi="宋体" w:cs="宋体" w:hint="eastAsia"/>
        </w:rPr>
        <w:t>《</w:t>
      </w:r>
      <w:r>
        <w:rPr>
          <w:rFonts w:cs="宋体" w:hint="eastAsia"/>
        </w:rPr>
        <w:t>品牌价值</w:t>
      </w:r>
      <w:r>
        <w:t xml:space="preserve">  </w:t>
      </w:r>
      <w:r>
        <w:rPr>
          <w:rFonts w:cs="宋体" w:hint="eastAsia"/>
        </w:rPr>
        <w:t>要素</w:t>
      </w:r>
      <w:r>
        <w:rPr>
          <w:rFonts w:ascii="宋体" w:hAnsi="宋体" w:cs="宋体" w:hint="eastAsia"/>
        </w:rPr>
        <w:t>》、</w:t>
      </w:r>
      <w:r>
        <w:rPr>
          <w:rFonts w:ascii="宋体" w:hAnsi="宋体" w:cs="宋体"/>
        </w:rPr>
        <w:t>GB/T 29187-2012</w:t>
      </w:r>
      <w:r>
        <w:rPr>
          <w:rFonts w:ascii="宋体" w:hAnsi="宋体" w:cs="宋体" w:hint="eastAsia"/>
        </w:rPr>
        <w:t>《</w:t>
      </w:r>
      <w:r>
        <w:rPr>
          <w:rFonts w:cs="宋体" w:hint="eastAsia"/>
        </w:rPr>
        <w:t>品牌评价</w:t>
      </w:r>
      <w:r>
        <w:t xml:space="preserve">  </w:t>
      </w:r>
      <w:r>
        <w:rPr>
          <w:rFonts w:cs="宋体" w:hint="eastAsia"/>
        </w:rPr>
        <w:t>品牌价值评价要求</w:t>
      </w:r>
      <w:r>
        <w:rPr>
          <w:rFonts w:ascii="宋体" w:hAnsi="宋体" w:cs="宋体" w:hint="eastAsia"/>
        </w:rPr>
        <w:t>》以及</w:t>
      </w:r>
      <w:r>
        <w:rPr>
          <w:rFonts w:ascii="宋体" w:hAnsi="宋体" w:cs="宋体"/>
        </w:rPr>
        <w:t>GB/T 29188-2012</w:t>
      </w:r>
      <w:r>
        <w:rPr>
          <w:rFonts w:ascii="宋体" w:hAnsi="宋体" w:cs="宋体" w:hint="eastAsia"/>
        </w:rPr>
        <w:t>《</w:t>
      </w:r>
      <w:r>
        <w:rPr>
          <w:rFonts w:cs="宋体" w:hint="eastAsia"/>
        </w:rPr>
        <w:t>品牌评价</w:t>
      </w:r>
      <w:r>
        <w:t xml:space="preserve"> </w:t>
      </w:r>
      <w:r>
        <w:rPr>
          <w:rFonts w:cs="宋体" w:hint="eastAsia"/>
        </w:rPr>
        <w:t>多周期超额收益法</w:t>
      </w:r>
      <w:r>
        <w:rPr>
          <w:rFonts w:ascii="宋体" w:hAnsi="宋体" w:cs="宋体" w:hint="eastAsia"/>
        </w:rPr>
        <w:t>》的有关规定和要求起草；</w:t>
      </w:r>
    </w:p>
    <w:p w:rsidR="00AF58E6" w:rsidRPr="004A44CB" w:rsidRDefault="00AF58E6" w:rsidP="000D5596">
      <w:pPr>
        <w:widowControl/>
        <w:spacing w:line="440" w:lineRule="exact"/>
        <w:ind w:firstLineChars="200" w:firstLine="420"/>
        <w:jc w:val="left"/>
        <w:rPr>
          <w:rFonts w:ascii="黑体" w:eastAsia="黑体" w:hAnsi="宋体" w:cs="Times New Roman"/>
          <w:b/>
          <w:bCs/>
          <w:kern w:val="0"/>
          <w:sz w:val="24"/>
          <w:szCs w:val="24"/>
        </w:rPr>
      </w:pPr>
      <w:r>
        <w:rPr>
          <w:rFonts w:ascii="宋体" w:hAnsi="宋体" w:cs="宋体" w:hint="eastAsia"/>
        </w:rPr>
        <w:t>采用</w:t>
      </w:r>
      <w:r>
        <w:rPr>
          <w:rFonts w:ascii="宋体" w:hAnsi="宋体" w:cs="宋体"/>
        </w:rPr>
        <w:t>GB/T 29185-2012</w:t>
      </w:r>
      <w:r>
        <w:rPr>
          <w:rFonts w:ascii="宋体" w:hAnsi="宋体" w:cs="宋体" w:hint="eastAsia"/>
        </w:rPr>
        <w:t>《</w:t>
      </w:r>
      <w:r>
        <w:rPr>
          <w:rFonts w:cs="宋体" w:hint="eastAsia"/>
        </w:rPr>
        <w:t>品牌价值</w:t>
      </w:r>
      <w:r>
        <w:t xml:space="preserve"> </w:t>
      </w:r>
      <w:r>
        <w:rPr>
          <w:rFonts w:cs="宋体" w:hint="eastAsia"/>
        </w:rPr>
        <w:t>术语</w:t>
      </w:r>
      <w:r>
        <w:rPr>
          <w:rFonts w:ascii="宋体" w:hAnsi="宋体" w:cs="宋体" w:hint="eastAsia"/>
        </w:rPr>
        <w:t>》规定的术语。</w:t>
      </w:r>
    </w:p>
    <w:p w:rsidR="00AF58E6" w:rsidRDefault="00AF58E6" w:rsidP="008D1F5D">
      <w:pPr>
        <w:spacing w:line="440" w:lineRule="exact"/>
        <w:rPr>
          <w:rFonts w:ascii="宋体" w:cs="Times New Roman"/>
        </w:rPr>
      </w:pPr>
      <w:r>
        <w:rPr>
          <w:rFonts w:ascii="黑体" w:eastAsia="黑体" w:hAnsi="宋体" w:cs="黑体"/>
          <w:b/>
          <w:bCs/>
          <w:sz w:val="24"/>
          <w:szCs w:val="24"/>
        </w:rPr>
        <w:t xml:space="preserve">6  </w:t>
      </w:r>
      <w:r w:rsidRPr="00A80067">
        <w:rPr>
          <w:rFonts w:ascii="黑体" w:eastAsia="黑体" w:hAnsi="宋体" w:cs="黑体" w:hint="eastAsia"/>
          <w:b/>
          <w:bCs/>
          <w:sz w:val="24"/>
          <w:szCs w:val="24"/>
        </w:rPr>
        <w:t>编制过程</w:t>
      </w:r>
      <w:r>
        <w:rPr>
          <w:rFonts w:ascii="宋体" w:hAnsi="宋体" w:cs="宋体"/>
        </w:rPr>
        <w:t xml:space="preserve">    </w:t>
      </w:r>
    </w:p>
    <w:p w:rsidR="00AF58E6" w:rsidRDefault="00AF58E6" w:rsidP="000D5596">
      <w:pPr>
        <w:spacing w:line="440" w:lineRule="exact"/>
        <w:ind w:firstLineChars="200" w:firstLine="420"/>
        <w:rPr>
          <w:rFonts w:ascii="宋体" w:cs="Times New Roman"/>
        </w:rPr>
      </w:pPr>
      <w:r w:rsidRPr="00E56268">
        <w:rPr>
          <w:rFonts w:ascii="宋体" w:hAnsi="宋体" w:cs="宋体" w:hint="eastAsia"/>
        </w:rPr>
        <w:t>本标准项目由</w:t>
      </w:r>
      <w:r>
        <w:rPr>
          <w:rFonts w:ascii="宋体" w:hAnsi="宋体" w:cs="宋体" w:hint="eastAsia"/>
        </w:rPr>
        <w:t>全国品牌价值及价值测算标准化技术委员会提出并归口，由</w:t>
      </w:r>
      <w:r w:rsidRPr="00E56268">
        <w:rPr>
          <w:rFonts w:ascii="Arial" w:hAnsi="Arial" w:cs="宋体" w:hint="eastAsia"/>
        </w:rPr>
        <w:t>中国</w:t>
      </w:r>
      <w:r>
        <w:rPr>
          <w:rFonts w:ascii="Arial" w:hAnsi="Arial" w:cs="宋体" w:hint="eastAsia"/>
        </w:rPr>
        <w:t>汽车工业协会</w:t>
      </w:r>
      <w:r w:rsidRPr="00E56268">
        <w:rPr>
          <w:rFonts w:ascii="宋体" w:hAnsi="宋体" w:cs="宋体" w:hint="eastAsia"/>
        </w:rPr>
        <w:t>负责</w:t>
      </w:r>
      <w:r>
        <w:rPr>
          <w:rFonts w:ascii="宋体" w:hAnsi="宋体" w:cs="宋体" w:hint="eastAsia"/>
        </w:rPr>
        <w:t>牵头</w:t>
      </w:r>
      <w:r w:rsidRPr="00E56268">
        <w:rPr>
          <w:rFonts w:ascii="宋体" w:hAnsi="宋体" w:cs="宋体" w:hint="eastAsia"/>
        </w:rPr>
        <w:t>起草</w:t>
      </w:r>
      <w:r>
        <w:rPr>
          <w:rFonts w:ascii="宋体" w:hAnsi="宋体" w:cs="宋体" w:hint="eastAsia"/>
        </w:rPr>
        <w:t>。根据全国品牌价值及价值测算标准化技术委员会《关于成立品牌价值评价国家标准起草工作组的通知》（</w:t>
      </w:r>
      <w:proofErr w:type="gramStart"/>
      <w:r>
        <w:rPr>
          <w:rFonts w:ascii="宋体" w:hAnsi="宋体" w:cs="宋体" w:hint="eastAsia"/>
        </w:rPr>
        <w:t>品标委文</w:t>
      </w:r>
      <w:proofErr w:type="gramEnd"/>
      <w:r>
        <w:rPr>
          <w:rFonts w:ascii="宋体" w:hAnsi="宋体" w:cs="宋体"/>
        </w:rPr>
        <w:t>[2013]03</w:t>
      </w:r>
      <w:r>
        <w:rPr>
          <w:rFonts w:ascii="宋体" w:hAnsi="宋体" w:cs="宋体" w:hint="eastAsia"/>
        </w:rPr>
        <w:t>号）</w:t>
      </w:r>
      <w:r w:rsidRPr="00E56268">
        <w:rPr>
          <w:rFonts w:ascii="宋体" w:hAnsi="宋体" w:cs="宋体" w:hint="eastAsia"/>
        </w:rPr>
        <w:t>成立</w:t>
      </w:r>
      <w:r>
        <w:rPr>
          <w:rFonts w:ascii="宋体" w:hAnsi="宋体" w:cs="宋体" w:hint="eastAsia"/>
        </w:rPr>
        <w:t>了《品牌价值评价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汽车制造业</w:t>
      </w:r>
      <w:r>
        <w:rPr>
          <w:rFonts w:ascii="宋体" w:cs="宋体" w:hint="eastAsia"/>
        </w:rPr>
        <w:t>》</w:t>
      </w:r>
      <w:r>
        <w:rPr>
          <w:rFonts w:ascii="宋体" w:hAnsi="宋体" w:cs="宋体" w:hint="eastAsia"/>
        </w:rPr>
        <w:t>国家标准起草工作组。</w:t>
      </w:r>
    </w:p>
    <w:p w:rsidR="00AF58E6" w:rsidRDefault="00AF58E6" w:rsidP="000D5596">
      <w:pPr>
        <w:spacing w:line="440" w:lineRule="exact"/>
        <w:ind w:firstLineChars="200" w:firstLine="420"/>
        <w:rPr>
          <w:rFonts w:ascii="宋体" w:cs="Times New Roman"/>
        </w:rPr>
      </w:pPr>
      <w:r>
        <w:rPr>
          <w:rFonts w:ascii="宋体" w:cs="宋体" w:hint="eastAsia"/>
        </w:rPr>
        <w:t>工作组</w:t>
      </w:r>
      <w:r w:rsidRPr="00873127">
        <w:rPr>
          <w:rFonts w:ascii="宋体" w:hAnsi="宋体" w:cs="宋体" w:hint="eastAsia"/>
        </w:rPr>
        <w:t>首先进行了资料调研</w:t>
      </w:r>
      <w:r>
        <w:rPr>
          <w:rFonts w:ascii="宋体" w:hAnsi="宋体" w:cs="宋体" w:hint="eastAsia"/>
        </w:rPr>
        <w:t>，分析了当前主要的品牌评价方法，在此基础上开展了标准草案的起草工作，并于</w:t>
      </w:r>
      <w:r>
        <w:rPr>
          <w:rFonts w:ascii="宋体" w:hAnsi="宋体" w:cs="宋体"/>
        </w:rPr>
        <w:t>2014</w:t>
      </w:r>
      <w:r>
        <w:rPr>
          <w:rFonts w:ascii="宋体" w:hAnsi="宋体" w:cs="宋体" w:hint="eastAsia"/>
        </w:rPr>
        <w:t>年</w:t>
      </w:r>
      <w:r>
        <w:rPr>
          <w:rFonts w:ascii="宋体" w:hAnsi="宋体" w:cs="宋体"/>
        </w:rPr>
        <w:t>1</w:t>
      </w:r>
      <w:r>
        <w:rPr>
          <w:rFonts w:ascii="宋体" w:hAnsi="宋体" w:cs="宋体" w:hint="eastAsia"/>
        </w:rPr>
        <w:t>月提出了标准草稿。</w:t>
      </w:r>
    </w:p>
    <w:p w:rsidR="00AF58E6" w:rsidRDefault="00AF58E6" w:rsidP="008D1F5D">
      <w:pPr>
        <w:spacing w:line="440" w:lineRule="exact"/>
        <w:ind w:firstLine="405"/>
        <w:rPr>
          <w:rFonts w:ascii="宋体" w:cs="Times New Roman"/>
        </w:rPr>
      </w:pPr>
      <w:r>
        <w:rPr>
          <w:rFonts w:ascii="宋体" w:hAnsi="宋体" w:cs="宋体"/>
        </w:rPr>
        <w:t>2014</w:t>
      </w:r>
      <w:r>
        <w:rPr>
          <w:rFonts w:ascii="宋体" w:hAnsi="宋体" w:cs="宋体" w:hint="eastAsia"/>
        </w:rPr>
        <w:t>年</w:t>
      </w:r>
      <w:r>
        <w:rPr>
          <w:rFonts w:ascii="宋体" w:hAnsi="宋体" w:cs="宋体"/>
        </w:rPr>
        <w:t>3</w:t>
      </w:r>
      <w:r>
        <w:rPr>
          <w:rFonts w:ascii="宋体" w:hAnsi="宋体" w:cs="宋体" w:hint="eastAsia"/>
        </w:rPr>
        <w:t>月，工作组在征求部分行业专家的意见后，对草稿进行了修订形成了标准的征求意见稿。</w:t>
      </w:r>
    </w:p>
    <w:p w:rsidR="00AF58E6" w:rsidRPr="00437261" w:rsidRDefault="00AF58E6" w:rsidP="007371E1">
      <w:pPr>
        <w:spacing w:line="440" w:lineRule="exact"/>
        <w:ind w:firstLineChars="200" w:firstLine="420"/>
        <w:rPr>
          <w:rFonts w:ascii="宋体" w:cs="Times New Roman"/>
        </w:rPr>
      </w:pPr>
    </w:p>
    <w:sectPr w:rsidR="00AF58E6" w:rsidRPr="00437261" w:rsidSect="00067C97">
      <w:footerReference w:type="default" r:id="rId8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1275" w:rsidRDefault="008A1275" w:rsidP="00B04D34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8A1275" w:rsidRDefault="008A1275" w:rsidP="00B04D34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8E6" w:rsidRDefault="00AF58E6" w:rsidP="00067C97">
    <w:pPr>
      <w:pStyle w:val="a5"/>
      <w:ind w:right="360"/>
      <w:rPr>
        <w:rFonts w:cs="Times New Roman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8E6" w:rsidRDefault="007371E1" w:rsidP="000D3200">
    <w:pPr>
      <w:pStyle w:val="a5"/>
      <w:framePr w:wrap="auto" w:vAnchor="text" w:hAnchor="margin" w:xAlign="right" w:y="1"/>
      <w:rPr>
        <w:rStyle w:val="ab"/>
        <w:rFonts w:cs="Times New Roman"/>
      </w:rPr>
    </w:pPr>
    <w:r>
      <w:rPr>
        <w:rStyle w:val="ab"/>
      </w:rPr>
      <w:fldChar w:fldCharType="begin"/>
    </w:r>
    <w:r w:rsidR="00AF58E6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0D5596">
      <w:rPr>
        <w:rStyle w:val="ab"/>
        <w:noProof/>
      </w:rPr>
      <w:t>2</w:t>
    </w:r>
    <w:r>
      <w:rPr>
        <w:rStyle w:val="ab"/>
      </w:rPr>
      <w:fldChar w:fldCharType="end"/>
    </w:r>
  </w:p>
  <w:p w:rsidR="00AF58E6" w:rsidRDefault="00AF58E6" w:rsidP="00067C97">
    <w:pPr>
      <w:pStyle w:val="a5"/>
      <w:ind w:right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1275" w:rsidRDefault="008A1275" w:rsidP="00B04D34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8A1275" w:rsidRDefault="008A1275" w:rsidP="00B04D34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B471B7"/>
    <w:multiLevelType w:val="hybridMultilevel"/>
    <w:tmpl w:val="7E3E94BE"/>
    <w:lvl w:ilvl="0" w:tplc="62ACE972">
      <w:start w:val="1"/>
      <w:numFmt w:val="japaneseCounting"/>
      <w:lvlText w:val="%1、"/>
      <w:lvlJc w:val="left"/>
      <w:pPr>
        <w:tabs>
          <w:tab w:val="num" w:pos="1322"/>
        </w:tabs>
        <w:ind w:left="1322" w:hanging="7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1442"/>
        </w:tabs>
        <w:ind w:left="1442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862"/>
        </w:tabs>
        <w:ind w:left="1862" w:hanging="420"/>
      </w:pPr>
    </w:lvl>
    <w:lvl w:ilvl="3" w:tplc="0409000F">
      <w:start w:val="1"/>
      <w:numFmt w:val="decimal"/>
      <w:lvlText w:val="%4."/>
      <w:lvlJc w:val="left"/>
      <w:pPr>
        <w:tabs>
          <w:tab w:val="num" w:pos="2282"/>
        </w:tabs>
        <w:ind w:left="2282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702"/>
        </w:tabs>
        <w:ind w:left="2702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3122"/>
        </w:tabs>
        <w:ind w:left="3122" w:hanging="420"/>
      </w:pPr>
    </w:lvl>
    <w:lvl w:ilvl="6" w:tplc="0409000F">
      <w:start w:val="1"/>
      <w:numFmt w:val="decimal"/>
      <w:lvlText w:val="%7."/>
      <w:lvlJc w:val="left"/>
      <w:pPr>
        <w:tabs>
          <w:tab w:val="num" w:pos="3542"/>
        </w:tabs>
        <w:ind w:left="3542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962"/>
        </w:tabs>
        <w:ind w:left="3962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382"/>
        </w:tabs>
        <w:ind w:left="4382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79F2"/>
    <w:rsid w:val="00012F25"/>
    <w:rsid w:val="00015671"/>
    <w:rsid w:val="00015B5E"/>
    <w:rsid w:val="000315FA"/>
    <w:rsid w:val="00031643"/>
    <w:rsid w:val="00034104"/>
    <w:rsid w:val="00036974"/>
    <w:rsid w:val="000457C9"/>
    <w:rsid w:val="00051F27"/>
    <w:rsid w:val="0005219F"/>
    <w:rsid w:val="00067C97"/>
    <w:rsid w:val="0007019E"/>
    <w:rsid w:val="000876DA"/>
    <w:rsid w:val="00091180"/>
    <w:rsid w:val="000930D5"/>
    <w:rsid w:val="0009342F"/>
    <w:rsid w:val="000A0F74"/>
    <w:rsid w:val="000C3179"/>
    <w:rsid w:val="000C79CE"/>
    <w:rsid w:val="000C79F2"/>
    <w:rsid w:val="000D3200"/>
    <w:rsid w:val="000D5596"/>
    <w:rsid w:val="000E0488"/>
    <w:rsid w:val="000F5E02"/>
    <w:rsid w:val="00102475"/>
    <w:rsid w:val="00102A7F"/>
    <w:rsid w:val="00104653"/>
    <w:rsid w:val="00115636"/>
    <w:rsid w:val="001338E4"/>
    <w:rsid w:val="00137C29"/>
    <w:rsid w:val="0014127C"/>
    <w:rsid w:val="00151FD7"/>
    <w:rsid w:val="00186E30"/>
    <w:rsid w:val="00192459"/>
    <w:rsid w:val="001927A3"/>
    <w:rsid w:val="001931A5"/>
    <w:rsid w:val="00195BE5"/>
    <w:rsid w:val="001A4254"/>
    <w:rsid w:val="001C0ECD"/>
    <w:rsid w:val="001C585E"/>
    <w:rsid w:val="001C611E"/>
    <w:rsid w:val="001E520F"/>
    <w:rsid w:val="001E705C"/>
    <w:rsid w:val="001F3C45"/>
    <w:rsid w:val="00202C2A"/>
    <w:rsid w:val="002165E2"/>
    <w:rsid w:val="002219BD"/>
    <w:rsid w:val="002300CE"/>
    <w:rsid w:val="00240097"/>
    <w:rsid w:val="00247019"/>
    <w:rsid w:val="0024726C"/>
    <w:rsid w:val="002478D1"/>
    <w:rsid w:val="00254ECC"/>
    <w:rsid w:val="002973B9"/>
    <w:rsid w:val="002A14B4"/>
    <w:rsid w:val="002A2089"/>
    <w:rsid w:val="002A7077"/>
    <w:rsid w:val="002B1224"/>
    <w:rsid w:val="002B6212"/>
    <w:rsid w:val="002B69AB"/>
    <w:rsid w:val="002C02A1"/>
    <w:rsid w:val="002E6A18"/>
    <w:rsid w:val="00300C38"/>
    <w:rsid w:val="00311F59"/>
    <w:rsid w:val="0031277C"/>
    <w:rsid w:val="003214AC"/>
    <w:rsid w:val="00330822"/>
    <w:rsid w:val="003355FE"/>
    <w:rsid w:val="00335DB9"/>
    <w:rsid w:val="0033681A"/>
    <w:rsid w:val="00344BCC"/>
    <w:rsid w:val="003464BD"/>
    <w:rsid w:val="003526E1"/>
    <w:rsid w:val="00352FD5"/>
    <w:rsid w:val="00361AA2"/>
    <w:rsid w:val="00362119"/>
    <w:rsid w:val="00364403"/>
    <w:rsid w:val="003734F7"/>
    <w:rsid w:val="00373735"/>
    <w:rsid w:val="00381310"/>
    <w:rsid w:val="003B396B"/>
    <w:rsid w:val="003B759E"/>
    <w:rsid w:val="003C7407"/>
    <w:rsid w:val="003D542C"/>
    <w:rsid w:val="003D55D5"/>
    <w:rsid w:val="003F1B63"/>
    <w:rsid w:val="003F23A3"/>
    <w:rsid w:val="003F53C7"/>
    <w:rsid w:val="004070A8"/>
    <w:rsid w:val="0041119F"/>
    <w:rsid w:val="00421C83"/>
    <w:rsid w:val="00437261"/>
    <w:rsid w:val="00445BAC"/>
    <w:rsid w:val="0047240D"/>
    <w:rsid w:val="004862B7"/>
    <w:rsid w:val="004A44CB"/>
    <w:rsid w:val="004B035A"/>
    <w:rsid w:val="004B0F7D"/>
    <w:rsid w:val="004C0B47"/>
    <w:rsid w:val="004C60F2"/>
    <w:rsid w:val="004D212B"/>
    <w:rsid w:val="004E388A"/>
    <w:rsid w:val="00507664"/>
    <w:rsid w:val="0050796B"/>
    <w:rsid w:val="00510903"/>
    <w:rsid w:val="00527506"/>
    <w:rsid w:val="0053226A"/>
    <w:rsid w:val="00542222"/>
    <w:rsid w:val="00544BB8"/>
    <w:rsid w:val="00552363"/>
    <w:rsid w:val="00553F21"/>
    <w:rsid w:val="005626D8"/>
    <w:rsid w:val="00562F67"/>
    <w:rsid w:val="005738FA"/>
    <w:rsid w:val="005751BF"/>
    <w:rsid w:val="0058327F"/>
    <w:rsid w:val="005952B1"/>
    <w:rsid w:val="005A4CDE"/>
    <w:rsid w:val="005B5DB8"/>
    <w:rsid w:val="005C1098"/>
    <w:rsid w:val="005C3C5A"/>
    <w:rsid w:val="005E0129"/>
    <w:rsid w:val="005F1927"/>
    <w:rsid w:val="005F3978"/>
    <w:rsid w:val="005F5881"/>
    <w:rsid w:val="00602969"/>
    <w:rsid w:val="0061192B"/>
    <w:rsid w:val="0061594C"/>
    <w:rsid w:val="00617BEE"/>
    <w:rsid w:val="00623256"/>
    <w:rsid w:val="00624074"/>
    <w:rsid w:val="00633478"/>
    <w:rsid w:val="006360E1"/>
    <w:rsid w:val="00675A36"/>
    <w:rsid w:val="00681135"/>
    <w:rsid w:val="00682BC6"/>
    <w:rsid w:val="006A16A7"/>
    <w:rsid w:val="006B76DA"/>
    <w:rsid w:val="006C5EEE"/>
    <w:rsid w:val="006D5E3F"/>
    <w:rsid w:val="006D7A65"/>
    <w:rsid w:val="006E7393"/>
    <w:rsid w:val="006F477F"/>
    <w:rsid w:val="007034C7"/>
    <w:rsid w:val="00703D0F"/>
    <w:rsid w:val="007241FE"/>
    <w:rsid w:val="007371E1"/>
    <w:rsid w:val="00740507"/>
    <w:rsid w:val="00753D8D"/>
    <w:rsid w:val="00756FAB"/>
    <w:rsid w:val="00776122"/>
    <w:rsid w:val="00782639"/>
    <w:rsid w:val="007939D5"/>
    <w:rsid w:val="00796F5E"/>
    <w:rsid w:val="007A321C"/>
    <w:rsid w:val="007A3956"/>
    <w:rsid w:val="007B330E"/>
    <w:rsid w:val="007B4459"/>
    <w:rsid w:val="007D25F3"/>
    <w:rsid w:val="007E330D"/>
    <w:rsid w:val="007E5791"/>
    <w:rsid w:val="00800D35"/>
    <w:rsid w:val="00805A51"/>
    <w:rsid w:val="00812569"/>
    <w:rsid w:val="00825C1D"/>
    <w:rsid w:val="00835B58"/>
    <w:rsid w:val="00844667"/>
    <w:rsid w:val="0085019A"/>
    <w:rsid w:val="008505A1"/>
    <w:rsid w:val="0085408C"/>
    <w:rsid w:val="008556F0"/>
    <w:rsid w:val="008721A5"/>
    <w:rsid w:val="00873127"/>
    <w:rsid w:val="008A1275"/>
    <w:rsid w:val="008B0D1F"/>
    <w:rsid w:val="008B57A7"/>
    <w:rsid w:val="008C1C0D"/>
    <w:rsid w:val="008D0D87"/>
    <w:rsid w:val="008D1F5D"/>
    <w:rsid w:val="008E1BB5"/>
    <w:rsid w:val="008E2179"/>
    <w:rsid w:val="008F53E4"/>
    <w:rsid w:val="00902951"/>
    <w:rsid w:val="00904645"/>
    <w:rsid w:val="00913D7D"/>
    <w:rsid w:val="00915AC3"/>
    <w:rsid w:val="00917F86"/>
    <w:rsid w:val="00943FDE"/>
    <w:rsid w:val="00954B36"/>
    <w:rsid w:val="0097022B"/>
    <w:rsid w:val="009A29CC"/>
    <w:rsid w:val="009A7C61"/>
    <w:rsid w:val="009C6638"/>
    <w:rsid w:val="009D54A2"/>
    <w:rsid w:val="009E74DA"/>
    <w:rsid w:val="009F3B7F"/>
    <w:rsid w:val="00A066D6"/>
    <w:rsid w:val="00A127A0"/>
    <w:rsid w:val="00A42927"/>
    <w:rsid w:val="00A52170"/>
    <w:rsid w:val="00A5227C"/>
    <w:rsid w:val="00A52E1E"/>
    <w:rsid w:val="00A6115C"/>
    <w:rsid w:val="00A72B41"/>
    <w:rsid w:val="00A74350"/>
    <w:rsid w:val="00A80067"/>
    <w:rsid w:val="00A94A95"/>
    <w:rsid w:val="00A94DD7"/>
    <w:rsid w:val="00AA0086"/>
    <w:rsid w:val="00AA265E"/>
    <w:rsid w:val="00AB1262"/>
    <w:rsid w:val="00AC614E"/>
    <w:rsid w:val="00AC708A"/>
    <w:rsid w:val="00AD0855"/>
    <w:rsid w:val="00AD174B"/>
    <w:rsid w:val="00AF03E3"/>
    <w:rsid w:val="00AF0518"/>
    <w:rsid w:val="00AF14AC"/>
    <w:rsid w:val="00AF4936"/>
    <w:rsid w:val="00AF58E6"/>
    <w:rsid w:val="00AF72EB"/>
    <w:rsid w:val="00AF735F"/>
    <w:rsid w:val="00B04D34"/>
    <w:rsid w:val="00B177CF"/>
    <w:rsid w:val="00B228FB"/>
    <w:rsid w:val="00B25627"/>
    <w:rsid w:val="00B27F3C"/>
    <w:rsid w:val="00B32819"/>
    <w:rsid w:val="00B43B30"/>
    <w:rsid w:val="00B51E54"/>
    <w:rsid w:val="00B638E5"/>
    <w:rsid w:val="00B80D58"/>
    <w:rsid w:val="00B81846"/>
    <w:rsid w:val="00B83BBA"/>
    <w:rsid w:val="00B93F40"/>
    <w:rsid w:val="00BA26A7"/>
    <w:rsid w:val="00BA6505"/>
    <w:rsid w:val="00BB72B9"/>
    <w:rsid w:val="00BC02FA"/>
    <w:rsid w:val="00BC10C5"/>
    <w:rsid w:val="00BC5A21"/>
    <w:rsid w:val="00BE092B"/>
    <w:rsid w:val="00BF5ECB"/>
    <w:rsid w:val="00BF61C1"/>
    <w:rsid w:val="00BF6417"/>
    <w:rsid w:val="00C02463"/>
    <w:rsid w:val="00C0322F"/>
    <w:rsid w:val="00C17FAE"/>
    <w:rsid w:val="00C24E46"/>
    <w:rsid w:val="00C25523"/>
    <w:rsid w:val="00C30E64"/>
    <w:rsid w:val="00C44365"/>
    <w:rsid w:val="00C47295"/>
    <w:rsid w:val="00C84E78"/>
    <w:rsid w:val="00C85524"/>
    <w:rsid w:val="00CA2292"/>
    <w:rsid w:val="00CA4E46"/>
    <w:rsid w:val="00CC39C6"/>
    <w:rsid w:val="00CC4DA7"/>
    <w:rsid w:val="00CC6661"/>
    <w:rsid w:val="00CE4AD6"/>
    <w:rsid w:val="00CE5652"/>
    <w:rsid w:val="00D046D8"/>
    <w:rsid w:val="00D047A9"/>
    <w:rsid w:val="00D04ABC"/>
    <w:rsid w:val="00D33534"/>
    <w:rsid w:val="00D4111B"/>
    <w:rsid w:val="00D5135E"/>
    <w:rsid w:val="00D62776"/>
    <w:rsid w:val="00D71A05"/>
    <w:rsid w:val="00D72897"/>
    <w:rsid w:val="00D94AB9"/>
    <w:rsid w:val="00DA0484"/>
    <w:rsid w:val="00DB0CC3"/>
    <w:rsid w:val="00DB19D3"/>
    <w:rsid w:val="00DB5F15"/>
    <w:rsid w:val="00DC2055"/>
    <w:rsid w:val="00DC48FF"/>
    <w:rsid w:val="00DF78C3"/>
    <w:rsid w:val="00E27C63"/>
    <w:rsid w:val="00E34345"/>
    <w:rsid w:val="00E34593"/>
    <w:rsid w:val="00E47733"/>
    <w:rsid w:val="00E56268"/>
    <w:rsid w:val="00E57296"/>
    <w:rsid w:val="00E62592"/>
    <w:rsid w:val="00E73E24"/>
    <w:rsid w:val="00E93CA9"/>
    <w:rsid w:val="00EA4722"/>
    <w:rsid w:val="00EB3259"/>
    <w:rsid w:val="00EB65A6"/>
    <w:rsid w:val="00EC6CD0"/>
    <w:rsid w:val="00ED1A34"/>
    <w:rsid w:val="00EF2407"/>
    <w:rsid w:val="00EF5513"/>
    <w:rsid w:val="00F01DB5"/>
    <w:rsid w:val="00F1161A"/>
    <w:rsid w:val="00F318E5"/>
    <w:rsid w:val="00F342C3"/>
    <w:rsid w:val="00F35E70"/>
    <w:rsid w:val="00F466A2"/>
    <w:rsid w:val="00F5277C"/>
    <w:rsid w:val="00F55E07"/>
    <w:rsid w:val="00F61199"/>
    <w:rsid w:val="00F63719"/>
    <w:rsid w:val="00F80E9F"/>
    <w:rsid w:val="00F9447C"/>
    <w:rsid w:val="00FA18A5"/>
    <w:rsid w:val="00FA3D82"/>
    <w:rsid w:val="00FB0693"/>
    <w:rsid w:val="00FB23BB"/>
    <w:rsid w:val="00FB5736"/>
    <w:rsid w:val="00FF012D"/>
    <w:rsid w:val="00FF3B80"/>
    <w:rsid w:val="00FF5DE0"/>
    <w:rsid w:val="00FF74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9F2"/>
    <w:pPr>
      <w:widowControl w:val="0"/>
      <w:jc w:val="both"/>
    </w:pPr>
    <w:rPr>
      <w:rFonts w:cs="Calibri"/>
      <w:kern w:val="2"/>
      <w:sz w:val="21"/>
      <w:szCs w:val="21"/>
    </w:rPr>
  </w:style>
  <w:style w:type="paragraph" w:styleId="4">
    <w:name w:val="heading 4"/>
    <w:basedOn w:val="a"/>
    <w:next w:val="a"/>
    <w:link w:val="4Char"/>
    <w:uiPriority w:val="99"/>
    <w:qFormat/>
    <w:rsid w:val="00F342C3"/>
    <w:pPr>
      <w:keepNext/>
      <w:keepLines/>
      <w:spacing w:before="280" w:after="290" w:line="376" w:lineRule="auto"/>
      <w:outlineLvl w:val="3"/>
    </w:pPr>
    <w:rPr>
      <w:rFonts w:ascii="Arial" w:eastAsia="黑体" w:hAnsi="Arial" w:cs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标题 4 Char"/>
    <w:basedOn w:val="a0"/>
    <w:link w:val="4"/>
    <w:uiPriority w:val="99"/>
    <w:locked/>
    <w:rsid w:val="00F342C3"/>
    <w:rPr>
      <w:rFonts w:ascii="Arial" w:eastAsia="黑体" w:hAnsi="Arial" w:cs="Arial"/>
      <w:b/>
      <w:bCs/>
      <w:sz w:val="28"/>
      <w:szCs w:val="28"/>
    </w:rPr>
  </w:style>
  <w:style w:type="paragraph" w:styleId="a3">
    <w:name w:val="Date"/>
    <w:basedOn w:val="a"/>
    <w:next w:val="a"/>
    <w:link w:val="Char"/>
    <w:uiPriority w:val="99"/>
    <w:semiHidden/>
    <w:rsid w:val="001C585E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locked/>
    <w:rsid w:val="001C585E"/>
  </w:style>
  <w:style w:type="paragraph" w:styleId="a4">
    <w:name w:val="header"/>
    <w:basedOn w:val="a"/>
    <w:link w:val="Char0"/>
    <w:uiPriority w:val="99"/>
    <w:semiHidden/>
    <w:rsid w:val="00B04D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locked/>
    <w:rsid w:val="00B04D34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rsid w:val="00B04D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locked/>
    <w:rsid w:val="00B04D34"/>
    <w:rPr>
      <w:sz w:val="18"/>
      <w:szCs w:val="18"/>
    </w:rPr>
  </w:style>
  <w:style w:type="paragraph" w:styleId="2">
    <w:name w:val="toc 2"/>
    <w:basedOn w:val="a"/>
    <w:next w:val="a"/>
    <w:autoRedefine/>
    <w:uiPriority w:val="99"/>
    <w:semiHidden/>
    <w:rsid w:val="00F342C3"/>
    <w:pPr>
      <w:ind w:leftChars="200" w:left="420"/>
    </w:pPr>
    <w:rPr>
      <w:rFonts w:ascii="Times New Roman" w:hAnsi="Times New Roman" w:cs="Times New Roman"/>
    </w:rPr>
  </w:style>
  <w:style w:type="character" w:styleId="a6">
    <w:name w:val="Hyperlink"/>
    <w:basedOn w:val="a0"/>
    <w:uiPriority w:val="99"/>
    <w:rsid w:val="00F342C3"/>
    <w:rPr>
      <w:color w:val="0000FF"/>
      <w:u w:val="single"/>
    </w:rPr>
  </w:style>
  <w:style w:type="paragraph" w:styleId="5">
    <w:name w:val="toc 5"/>
    <w:basedOn w:val="a"/>
    <w:next w:val="a"/>
    <w:autoRedefine/>
    <w:uiPriority w:val="99"/>
    <w:semiHidden/>
    <w:rsid w:val="00F342C3"/>
    <w:pPr>
      <w:tabs>
        <w:tab w:val="right" w:leader="dot" w:pos="9118"/>
      </w:tabs>
      <w:ind w:leftChars="428" w:left="899" w:firstLineChars="86" w:firstLine="181"/>
    </w:pPr>
    <w:rPr>
      <w:rFonts w:ascii="Times New Roman" w:hAnsi="Times New Roman" w:cs="Times New Roman"/>
    </w:rPr>
  </w:style>
  <w:style w:type="paragraph" w:styleId="a7">
    <w:name w:val="Normal (Web)"/>
    <w:basedOn w:val="a"/>
    <w:uiPriority w:val="99"/>
    <w:rsid w:val="00617BE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8">
    <w:name w:val="Strong"/>
    <w:basedOn w:val="a0"/>
    <w:uiPriority w:val="99"/>
    <w:qFormat/>
    <w:rsid w:val="00617BEE"/>
    <w:rPr>
      <w:b/>
      <w:bCs/>
    </w:rPr>
  </w:style>
  <w:style w:type="character" w:styleId="a9">
    <w:name w:val="Emphasis"/>
    <w:basedOn w:val="a0"/>
    <w:uiPriority w:val="99"/>
    <w:qFormat/>
    <w:rsid w:val="00617BEE"/>
    <w:rPr>
      <w:color w:val="auto"/>
    </w:rPr>
  </w:style>
  <w:style w:type="table" w:styleId="aa">
    <w:name w:val="Table Grid"/>
    <w:basedOn w:val="a1"/>
    <w:uiPriority w:val="99"/>
    <w:rsid w:val="00617BEE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page number"/>
    <w:basedOn w:val="a0"/>
    <w:uiPriority w:val="99"/>
    <w:rsid w:val="00067C97"/>
  </w:style>
  <w:style w:type="paragraph" w:styleId="ac">
    <w:name w:val="Balloon Text"/>
    <w:basedOn w:val="a"/>
    <w:link w:val="Char2"/>
    <w:uiPriority w:val="99"/>
    <w:semiHidden/>
    <w:rsid w:val="00352FD5"/>
    <w:rPr>
      <w:sz w:val="18"/>
      <w:szCs w:val="18"/>
    </w:rPr>
  </w:style>
  <w:style w:type="character" w:customStyle="1" w:styleId="Char2">
    <w:name w:val="批注框文本 Char"/>
    <w:basedOn w:val="a0"/>
    <w:link w:val="ac"/>
    <w:uiPriority w:val="99"/>
    <w:semiHidden/>
    <w:locked/>
    <w:rsid w:val="00352FD5"/>
    <w:rPr>
      <w:kern w:val="2"/>
      <w:sz w:val="18"/>
      <w:szCs w:val="18"/>
    </w:rPr>
  </w:style>
  <w:style w:type="paragraph" w:customStyle="1" w:styleId="ad">
    <w:name w:val="封面标准名称"/>
    <w:uiPriority w:val="99"/>
    <w:rsid w:val="004B035A"/>
    <w:pPr>
      <w:framePr w:w="9638" w:h="6917" w:hRule="exact" w:wrap="auto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eastAsia="黑体" w:hAnsi="Times New Roman" w:cs="黑体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724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250</Words>
  <Characters>1425</Characters>
  <Application>Microsoft Office Word</Application>
  <DocSecurity>0</DocSecurity>
  <Lines>11</Lines>
  <Paragraphs>3</Paragraphs>
  <ScaleCrop>false</ScaleCrop>
  <Company>微软中国</Company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《品牌价值评价  石油和化学工业》</dc:title>
  <dc:subject/>
  <dc:creator>微软用户</dc:creator>
  <cp:keywords/>
  <dc:description/>
  <cp:lastModifiedBy>Administrator</cp:lastModifiedBy>
  <cp:revision>89</cp:revision>
  <cp:lastPrinted>2012-05-25T06:04:00Z</cp:lastPrinted>
  <dcterms:created xsi:type="dcterms:W3CDTF">2014-01-02T08:44:00Z</dcterms:created>
  <dcterms:modified xsi:type="dcterms:W3CDTF">2014-04-15T01:34:00Z</dcterms:modified>
</cp:coreProperties>
</file>